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782"/>
        <w:gridCol w:w="7218"/>
      </w:tblGrid>
      <w:tr w:rsidR="00FF0BD1" w:rsidTr="00FF0BD1">
        <w:tc>
          <w:tcPr>
            <w:tcW w:w="1296" w:type="dxa"/>
          </w:tcPr>
          <w:p w:rsidR="00FF0BD1" w:rsidRDefault="00644EBD">
            <w:r>
              <w:rPr>
                <w:noProof/>
              </w:rPr>
              <w:drawing>
                <wp:inline distT="0" distB="0" distL="0" distR="0">
                  <wp:extent cx="667910" cy="49394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8435" cy="494337"/>
                          </a:xfrm>
                          <a:prstGeom prst="rect">
                            <a:avLst/>
                          </a:prstGeom>
                        </pic:spPr>
                      </pic:pic>
                    </a:graphicData>
                  </a:graphic>
                </wp:inline>
              </w:drawing>
            </w:r>
          </w:p>
        </w:tc>
        <w:tc>
          <w:tcPr>
            <w:tcW w:w="1782" w:type="dxa"/>
          </w:tcPr>
          <w:p w:rsidR="00FF0BD1" w:rsidRDefault="00FF0BD1" w:rsidP="00FF0BD1"/>
        </w:tc>
        <w:tc>
          <w:tcPr>
            <w:tcW w:w="7218" w:type="dxa"/>
            <w:vAlign w:val="center"/>
          </w:tcPr>
          <w:p w:rsidR="00FF0BD1" w:rsidRPr="00FF0BD1" w:rsidRDefault="00F350E8" w:rsidP="00FF0BD1">
            <w:pPr>
              <w:jc w:val="center"/>
              <w:rPr>
                <w:b/>
              </w:rPr>
            </w:pPr>
            <w:r>
              <w:rPr>
                <w:b/>
              </w:rPr>
              <w:t>Year End Report to Municipality</w:t>
            </w:r>
          </w:p>
          <w:p w:rsidR="00FF0BD1" w:rsidRDefault="00F350E8" w:rsidP="00F350E8">
            <w:pPr>
              <w:jc w:val="center"/>
            </w:pPr>
            <w:r>
              <w:t>Charity Utilization of OLG Charitable Gaming Proceeds</w:t>
            </w:r>
          </w:p>
          <w:p w:rsidR="0069201B" w:rsidRPr="0069201B" w:rsidRDefault="0069201B" w:rsidP="00050D86">
            <w:pPr>
              <w:jc w:val="center"/>
              <w:rPr>
                <w:b/>
              </w:rPr>
            </w:pPr>
            <w:r w:rsidRPr="0069201B">
              <w:rPr>
                <w:b/>
                <w:highlight w:val="yellow"/>
              </w:rPr>
              <w:t>Completed Forms</w:t>
            </w:r>
            <w:r w:rsidR="00F350E8">
              <w:rPr>
                <w:b/>
                <w:highlight w:val="yellow"/>
              </w:rPr>
              <w:t xml:space="preserve"> to be Submitted to </w:t>
            </w:r>
            <w:r w:rsidR="00050D86">
              <w:rPr>
                <w:b/>
                <w:highlight w:val="yellow"/>
              </w:rPr>
              <w:t>Paul Musselman</w:t>
            </w:r>
            <w:r w:rsidR="00F350E8">
              <w:rPr>
                <w:b/>
                <w:highlight w:val="yellow"/>
              </w:rPr>
              <w:t xml:space="preserve"> </w:t>
            </w:r>
            <w:r w:rsidR="00F350E8" w:rsidRPr="00F350E8">
              <w:rPr>
                <w:b/>
                <w:highlight w:val="yellow"/>
              </w:rPr>
              <w:t>– City of Cambridge</w:t>
            </w:r>
          </w:p>
        </w:tc>
      </w:tr>
    </w:tbl>
    <w:p w:rsidR="0069201B" w:rsidRDefault="0069201B"/>
    <w:tbl>
      <w:tblPr>
        <w:tblStyle w:val="TableGrid"/>
        <w:tblW w:w="0" w:type="auto"/>
        <w:tblLook w:val="04A0" w:firstRow="1" w:lastRow="0" w:firstColumn="1" w:lastColumn="0" w:noHBand="0" w:noVBand="1"/>
      </w:tblPr>
      <w:tblGrid>
        <w:gridCol w:w="3348"/>
        <w:gridCol w:w="3029"/>
        <w:gridCol w:w="979"/>
        <w:gridCol w:w="2940"/>
      </w:tblGrid>
      <w:tr w:rsidR="00FF0BD1" w:rsidRPr="00FF0BD1" w:rsidTr="00435D6B">
        <w:trPr>
          <w:trHeight w:val="432"/>
        </w:trPr>
        <w:tc>
          <w:tcPr>
            <w:tcW w:w="3348" w:type="dxa"/>
            <w:vAlign w:val="center"/>
          </w:tcPr>
          <w:p w:rsidR="00FF0BD1" w:rsidRPr="00BD48A0" w:rsidRDefault="00FF0BD1" w:rsidP="00F350E8">
            <w:pPr>
              <w:rPr>
                <w:b/>
                <w:sz w:val="20"/>
                <w:szCs w:val="20"/>
              </w:rPr>
            </w:pPr>
            <w:r w:rsidRPr="00BD48A0">
              <w:rPr>
                <w:b/>
                <w:sz w:val="20"/>
                <w:szCs w:val="20"/>
              </w:rPr>
              <w:t>Charitable Organization Name:</w:t>
            </w:r>
          </w:p>
        </w:tc>
        <w:tc>
          <w:tcPr>
            <w:tcW w:w="6948" w:type="dxa"/>
            <w:gridSpan w:val="3"/>
            <w:vAlign w:val="center"/>
          </w:tcPr>
          <w:p w:rsidR="00FF0BD1" w:rsidRPr="00FF0BD1" w:rsidRDefault="00FF0BD1" w:rsidP="00F350E8">
            <w:pPr>
              <w:rPr>
                <w:sz w:val="20"/>
                <w:szCs w:val="20"/>
              </w:rPr>
            </w:pPr>
          </w:p>
        </w:tc>
      </w:tr>
      <w:tr w:rsidR="00FF0BD1" w:rsidRPr="00FF0BD1" w:rsidTr="00435D6B">
        <w:trPr>
          <w:trHeight w:val="432"/>
        </w:trPr>
        <w:tc>
          <w:tcPr>
            <w:tcW w:w="3348" w:type="dxa"/>
            <w:vAlign w:val="center"/>
          </w:tcPr>
          <w:p w:rsidR="00FF0BD1" w:rsidRPr="00BD48A0" w:rsidRDefault="00FF0BD1" w:rsidP="00F350E8">
            <w:pPr>
              <w:rPr>
                <w:b/>
                <w:sz w:val="20"/>
                <w:szCs w:val="20"/>
              </w:rPr>
            </w:pPr>
            <w:r w:rsidRPr="00BD48A0">
              <w:rPr>
                <w:b/>
                <w:sz w:val="20"/>
                <w:szCs w:val="20"/>
              </w:rPr>
              <w:t>Address Line 1:</w:t>
            </w:r>
          </w:p>
        </w:tc>
        <w:tc>
          <w:tcPr>
            <w:tcW w:w="6948" w:type="dxa"/>
            <w:gridSpan w:val="3"/>
            <w:vAlign w:val="center"/>
          </w:tcPr>
          <w:p w:rsidR="00FF0BD1" w:rsidRPr="00FF0BD1" w:rsidRDefault="00FF0BD1" w:rsidP="00F350E8">
            <w:pPr>
              <w:rPr>
                <w:sz w:val="20"/>
                <w:szCs w:val="20"/>
              </w:rPr>
            </w:pPr>
          </w:p>
        </w:tc>
      </w:tr>
      <w:tr w:rsidR="00FF0BD1" w:rsidRPr="00FF0BD1" w:rsidTr="00435D6B">
        <w:trPr>
          <w:trHeight w:val="432"/>
        </w:trPr>
        <w:tc>
          <w:tcPr>
            <w:tcW w:w="3348" w:type="dxa"/>
            <w:vAlign w:val="center"/>
          </w:tcPr>
          <w:p w:rsidR="00FF0BD1" w:rsidRPr="00BD48A0" w:rsidRDefault="00FF0BD1" w:rsidP="00F350E8">
            <w:pPr>
              <w:rPr>
                <w:b/>
                <w:sz w:val="20"/>
                <w:szCs w:val="20"/>
              </w:rPr>
            </w:pPr>
            <w:r w:rsidRPr="00BD48A0">
              <w:rPr>
                <w:b/>
                <w:sz w:val="20"/>
                <w:szCs w:val="20"/>
              </w:rPr>
              <w:t>Address Line 2:</w:t>
            </w:r>
          </w:p>
        </w:tc>
        <w:tc>
          <w:tcPr>
            <w:tcW w:w="6948" w:type="dxa"/>
            <w:gridSpan w:val="3"/>
            <w:vAlign w:val="center"/>
          </w:tcPr>
          <w:p w:rsidR="00FF0BD1" w:rsidRPr="00FF0BD1" w:rsidRDefault="00FF0BD1" w:rsidP="00F350E8">
            <w:pPr>
              <w:rPr>
                <w:sz w:val="20"/>
                <w:szCs w:val="20"/>
              </w:rPr>
            </w:pPr>
          </w:p>
        </w:tc>
      </w:tr>
      <w:tr w:rsidR="00FF0BD1" w:rsidRPr="00FF0BD1" w:rsidTr="00435D6B">
        <w:trPr>
          <w:trHeight w:val="432"/>
        </w:trPr>
        <w:tc>
          <w:tcPr>
            <w:tcW w:w="3348" w:type="dxa"/>
            <w:vAlign w:val="center"/>
          </w:tcPr>
          <w:p w:rsidR="00FF0BD1" w:rsidRPr="00BD48A0" w:rsidRDefault="00FF0BD1" w:rsidP="00F350E8">
            <w:pPr>
              <w:rPr>
                <w:b/>
                <w:sz w:val="20"/>
                <w:szCs w:val="20"/>
              </w:rPr>
            </w:pPr>
            <w:r w:rsidRPr="00BD48A0">
              <w:rPr>
                <w:b/>
                <w:sz w:val="20"/>
                <w:szCs w:val="20"/>
              </w:rPr>
              <w:t>Charitable Gaming Centre Supported:</w:t>
            </w:r>
          </w:p>
        </w:tc>
        <w:tc>
          <w:tcPr>
            <w:tcW w:w="6948" w:type="dxa"/>
            <w:gridSpan w:val="3"/>
            <w:vAlign w:val="center"/>
          </w:tcPr>
          <w:p w:rsidR="00FF0BD1" w:rsidRPr="00FF0BD1" w:rsidRDefault="00BD48A0" w:rsidP="00F350E8">
            <w:pPr>
              <w:rPr>
                <w:sz w:val="20"/>
                <w:szCs w:val="20"/>
              </w:rPr>
            </w:pPr>
            <w:r>
              <w:rPr>
                <w:sz w:val="20"/>
                <w:szCs w:val="20"/>
              </w:rPr>
              <w:t>Cambridge Bingo and Charitable Gaming Centre</w:t>
            </w:r>
          </w:p>
        </w:tc>
      </w:tr>
      <w:tr w:rsidR="00FF0BD1" w:rsidRPr="00FF0BD1" w:rsidTr="00435D6B">
        <w:trPr>
          <w:trHeight w:val="432"/>
        </w:trPr>
        <w:tc>
          <w:tcPr>
            <w:tcW w:w="3348" w:type="dxa"/>
            <w:vAlign w:val="center"/>
          </w:tcPr>
          <w:p w:rsidR="00FF0BD1" w:rsidRPr="00BD48A0" w:rsidRDefault="00FF0BD1" w:rsidP="00F350E8">
            <w:pPr>
              <w:rPr>
                <w:b/>
                <w:sz w:val="20"/>
                <w:szCs w:val="20"/>
              </w:rPr>
            </w:pPr>
            <w:r w:rsidRPr="00BD48A0">
              <w:rPr>
                <w:b/>
                <w:sz w:val="20"/>
                <w:szCs w:val="20"/>
              </w:rPr>
              <w:t>Charitable Gaming Centre Address:</w:t>
            </w:r>
          </w:p>
        </w:tc>
        <w:tc>
          <w:tcPr>
            <w:tcW w:w="6948" w:type="dxa"/>
            <w:gridSpan w:val="3"/>
            <w:vAlign w:val="center"/>
          </w:tcPr>
          <w:p w:rsidR="00FF0BD1" w:rsidRPr="00FF0BD1" w:rsidRDefault="00BD48A0" w:rsidP="00F350E8">
            <w:pPr>
              <w:rPr>
                <w:sz w:val="20"/>
                <w:szCs w:val="20"/>
              </w:rPr>
            </w:pPr>
            <w:r>
              <w:rPr>
                <w:sz w:val="20"/>
                <w:szCs w:val="20"/>
              </w:rPr>
              <w:t>255 Elgin St N., Cambridge ON  N1R 7G4</w:t>
            </w:r>
          </w:p>
        </w:tc>
      </w:tr>
      <w:tr w:rsidR="00FF0BD1" w:rsidRPr="00FF0BD1" w:rsidTr="00435D6B">
        <w:trPr>
          <w:trHeight w:val="432"/>
        </w:trPr>
        <w:tc>
          <w:tcPr>
            <w:tcW w:w="3348" w:type="dxa"/>
            <w:vAlign w:val="center"/>
          </w:tcPr>
          <w:p w:rsidR="00FF0BD1" w:rsidRPr="00BD48A0" w:rsidRDefault="00F350E8" w:rsidP="00F350E8">
            <w:pPr>
              <w:rPr>
                <w:b/>
                <w:sz w:val="20"/>
                <w:szCs w:val="20"/>
              </w:rPr>
            </w:pPr>
            <w:r>
              <w:rPr>
                <w:b/>
                <w:sz w:val="20"/>
                <w:szCs w:val="20"/>
              </w:rPr>
              <w:t>Reporting Period</w:t>
            </w:r>
            <w:r w:rsidR="00FF0BD1" w:rsidRPr="00BD48A0">
              <w:rPr>
                <w:b/>
                <w:sz w:val="20"/>
                <w:szCs w:val="20"/>
              </w:rPr>
              <w:t>:</w:t>
            </w:r>
          </w:p>
        </w:tc>
        <w:tc>
          <w:tcPr>
            <w:tcW w:w="3029" w:type="dxa"/>
            <w:vAlign w:val="center"/>
          </w:tcPr>
          <w:p w:rsidR="00FF0BD1" w:rsidRPr="00FF0BD1" w:rsidRDefault="004A2766" w:rsidP="00F9785D">
            <w:pPr>
              <w:jc w:val="center"/>
              <w:rPr>
                <w:sz w:val="20"/>
                <w:szCs w:val="20"/>
              </w:rPr>
            </w:pPr>
            <w:r>
              <w:rPr>
                <w:sz w:val="20"/>
                <w:szCs w:val="20"/>
              </w:rPr>
              <w:t xml:space="preserve">Jan 01 </w:t>
            </w:r>
            <w:r w:rsidR="002667D5">
              <w:rPr>
                <w:sz w:val="20"/>
                <w:szCs w:val="20"/>
              </w:rPr>
              <w:t>2023</w:t>
            </w:r>
          </w:p>
        </w:tc>
        <w:tc>
          <w:tcPr>
            <w:tcW w:w="979" w:type="dxa"/>
            <w:vAlign w:val="center"/>
          </w:tcPr>
          <w:p w:rsidR="00FF0BD1" w:rsidRPr="00BD48A0" w:rsidRDefault="00FF0BD1" w:rsidP="00C34B2A">
            <w:pPr>
              <w:jc w:val="center"/>
              <w:rPr>
                <w:b/>
                <w:sz w:val="20"/>
                <w:szCs w:val="20"/>
              </w:rPr>
            </w:pPr>
            <w:r w:rsidRPr="00BD48A0">
              <w:rPr>
                <w:b/>
                <w:sz w:val="20"/>
                <w:szCs w:val="20"/>
              </w:rPr>
              <w:t>to</w:t>
            </w:r>
          </w:p>
        </w:tc>
        <w:tc>
          <w:tcPr>
            <w:tcW w:w="2940" w:type="dxa"/>
            <w:vAlign w:val="center"/>
          </w:tcPr>
          <w:p w:rsidR="00FF0BD1" w:rsidRPr="00FF0BD1" w:rsidRDefault="004A2766" w:rsidP="00EF1A5B">
            <w:pPr>
              <w:jc w:val="center"/>
              <w:rPr>
                <w:sz w:val="20"/>
                <w:szCs w:val="20"/>
              </w:rPr>
            </w:pPr>
            <w:r>
              <w:rPr>
                <w:sz w:val="20"/>
                <w:szCs w:val="20"/>
              </w:rPr>
              <w:t xml:space="preserve">Dec 31 </w:t>
            </w:r>
            <w:r w:rsidR="002667D5">
              <w:rPr>
                <w:sz w:val="20"/>
                <w:szCs w:val="20"/>
              </w:rPr>
              <w:t>2023</w:t>
            </w:r>
          </w:p>
        </w:tc>
      </w:tr>
    </w:tbl>
    <w:p w:rsidR="00EF1A5B" w:rsidRDefault="00EF1A5B" w:rsidP="00FF0BD1">
      <w:pPr>
        <w:jc w:val="both"/>
        <w:rPr>
          <w:sz w:val="18"/>
          <w:szCs w:val="18"/>
        </w:rPr>
      </w:pPr>
    </w:p>
    <w:p w:rsidR="00AD1DE5" w:rsidRPr="00EF1A5B" w:rsidRDefault="00435D6B" w:rsidP="00A137B6">
      <w:pPr>
        <w:ind w:left="90"/>
        <w:jc w:val="center"/>
      </w:pPr>
      <w:r w:rsidRPr="00EF1A5B">
        <w:rPr>
          <w:b/>
        </w:rPr>
        <w:t xml:space="preserve">Year End </w:t>
      </w:r>
      <w:r w:rsidR="004A2766" w:rsidRPr="00EF1A5B">
        <w:rPr>
          <w:b/>
        </w:rPr>
        <w:t>Reports are Due By June 30</w:t>
      </w:r>
      <w:r w:rsidR="00EF1A5B" w:rsidRPr="00EF1A5B">
        <w:rPr>
          <w:b/>
        </w:rPr>
        <w:t>th</w:t>
      </w:r>
      <w:r w:rsidR="004A2766" w:rsidRPr="00EF1A5B">
        <w:rPr>
          <w:b/>
        </w:rPr>
        <w:t>, 20</w:t>
      </w:r>
      <w:r w:rsidR="00EF1A5B" w:rsidRPr="00EF1A5B">
        <w:rPr>
          <w:b/>
        </w:rPr>
        <w:t>2</w:t>
      </w:r>
      <w:r w:rsidR="002667D5">
        <w:rPr>
          <w:b/>
        </w:rPr>
        <w:t>4</w:t>
      </w:r>
      <w:r w:rsidR="00644EBD" w:rsidRPr="00EF1A5B">
        <w:rPr>
          <w:b/>
        </w:rPr>
        <w:t xml:space="preserve">  - </w:t>
      </w:r>
      <w:r w:rsidRPr="00EF1A5B">
        <w:rPr>
          <w:b/>
        </w:rPr>
        <w:t xml:space="preserve">Organizations that do not submit </w:t>
      </w:r>
      <w:r w:rsidR="00EF1A5B" w:rsidRPr="00EF1A5B">
        <w:rPr>
          <w:b/>
        </w:rPr>
        <w:t xml:space="preserve">their Year End </w:t>
      </w:r>
      <w:r w:rsidRPr="00EF1A5B">
        <w:rPr>
          <w:b/>
        </w:rPr>
        <w:t xml:space="preserve">Report by June </w:t>
      </w:r>
      <w:bookmarkStart w:id="0" w:name="_GoBack"/>
      <w:bookmarkEnd w:id="0"/>
      <w:r w:rsidRPr="00EF1A5B">
        <w:rPr>
          <w:b/>
        </w:rPr>
        <w:t>30</w:t>
      </w:r>
      <w:r w:rsidR="00EF1A5B" w:rsidRPr="00EF1A5B">
        <w:rPr>
          <w:b/>
        </w:rPr>
        <w:t>th</w:t>
      </w:r>
      <w:r w:rsidRPr="00EF1A5B">
        <w:rPr>
          <w:b/>
        </w:rPr>
        <w:t xml:space="preserve"> will be </w:t>
      </w:r>
      <w:r w:rsidR="00EF1A5B" w:rsidRPr="00EF1A5B">
        <w:rPr>
          <w:b/>
        </w:rPr>
        <w:t>subject to repercussions as listed in the Non-Compliance and Repercussions Document</w:t>
      </w:r>
    </w:p>
    <w:p w:rsidR="00EF1A5B" w:rsidRDefault="00EF1A5B" w:rsidP="00FF0BD1">
      <w:pPr>
        <w:ind w:left="90"/>
        <w:rPr>
          <w:sz w:val="20"/>
          <w:szCs w:val="20"/>
        </w:rPr>
      </w:pPr>
    </w:p>
    <w:tbl>
      <w:tblPr>
        <w:tblStyle w:val="TableGrid"/>
        <w:tblW w:w="0" w:type="auto"/>
        <w:tblLook w:val="04A0" w:firstRow="1" w:lastRow="0" w:firstColumn="1" w:lastColumn="0" w:noHBand="0" w:noVBand="1"/>
      </w:tblPr>
      <w:tblGrid>
        <w:gridCol w:w="8388"/>
        <w:gridCol w:w="1908"/>
      </w:tblGrid>
      <w:tr w:rsidR="00435D6B" w:rsidRPr="00FF0BD1" w:rsidTr="00435D6B">
        <w:trPr>
          <w:trHeight w:val="432"/>
        </w:trPr>
        <w:tc>
          <w:tcPr>
            <w:tcW w:w="8388" w:type="dxa"/>
            <w:vAlign w:val="center"/>
          </w:tcPr>
          <w:p w:rsidR="00435D6B" w:rsidRPr="00435D6B" w:rsidRDefault="00435D6B" w:rsidP="00435D6B">
            <w:pPr>
              <w:pStyle w:val="ListParagraph"/>
              <w:numPr>
                <w:ilvl w:val="0"/>
                <w:numId w:val="6"/>
              </w:numPr>
              <w:tabs>
                <w:tab w:val="right" w:pos="8100"/>
              </w:tabs>
              <w:ind w:left="360"/>
              <w:rPr>
                <w:b/>
                <w:sz w:val="20"/>
                <w:szCs w:val="20"/>
              </w:rPr>
            </w:pPr>
            <w:r w:rsidRPr="00435D6B">
              <w:rPr>
                <w:b/>
                <w:sz w:val="20"/>
                <w:szCs w:val="20"/>
              </w:rPr>
              <w:t>Previous Period Closing Balance from Previous Year End Report</w:t>
            </w:r>
            <w:r w:rsidRPr="00435D6B">
              <w:rPr>
                <w:b/>
                <w:sz w:val="20"/>
                <w:szCs w:val="20"/>
              </w:rPr>
              <w:tab/>
              <w:t>$</w:t>
            </w:r>
          </w:p>
        </w:tc>
        <w:tc>
          <w:tcPr>
            <w:tcW w:w="1908" w:type="dxa"/>
            <w:vAlign w:val="center"/>
          </w:tcPr>
          <w:p w:rsidR="00435D6B" w:rsidRPr="00FF0BD1" w:rsidRDefault="00435D6B" w:rsidP="00644EBD">
            <w:pPr>
              <w:jc w:val="right"/>
              <w:rPr>
                <w:sz w:val="20"/>
                <w:szCs w:val="20"/>
              </w:rPr>
            </w:pPr>
          </w:p>
        </w:tc>
      </w:tr>
      <w:tr w:rsidR="00435D6B" w:rsidRPr="00FF0BD1" w:rsidTr="00435D6B">
        <w:trPr>
          <w:trHeight w:val="432"/>
        </w:trPr>
        <w:tc>
          <w:tcPr>
            <w:tcW w:w="8388" w:type="dxa"/>
            <w:vAlign w:val="center"/>
          </w:tcPr>
          <w:p w:rsidR="00435D6B" w:rsidRPr="00435D6B" w:rsidRDefault="00435D6B" w:rsidP="00435D6B">
            <w:pPr>
              <w:pStyle w:val="ListParagraph"/>
              <w:numPr>
                <w:ilvl w:val="0"/>
                <w:numId w:val="6"/>
              </w:numPr>
              <w:tabs>
                <w:tab w:val="right" w:pos="8100"/>
              </w:tabs>
              <w:ind w:left="360"/>
              <w:rPr>
                <w:sz w:val="20"/>
                <w:szCs w:val="20"/>
              </w:rPr>
            </w:pPr>
            <w:r w:rsidRPr="00435D6B">
              <w:rPr>
                <w:sz w:val="20"/>
                <w:szCs w:val="20"/>
              </w:rPr>
              <w:t>Total Revenue Received – Totals Reported on your Monthly Reports (Jan to Dec)</w:t>
            </w:r>
            <w:r w:rsidRPr="00435D6B">
              <w:rPr>
                <w:sz w:val="20"/>
                <w:szCs w:val="20"/>
              </w:rPr>
              <w:tab/>
              <w:t>$</w:t>
            </w:r>
          </w:p>
        </w:tc>
        <w:tc>
          <w:tcPr>
            <w:tcW w:w="1908" w:type="dxa"/>
            <w:vAlign w:val="center"/>
          </w:tcPr>
          <w:p w:rsidR="00435D6B" w:rsidRPr="00FF0BD1" w:rsidRDefault="00435D6B" w:rsidP="00644EBD">
            <w:pPr>
              <w:jc w:val="right"/>
              <w:rPr>
                <w:sz w:val="20"/>
                <w:szCs w:val="20"/>
              </w:rPr>
            </w:pPr>
          </w:p>
        </w:tc>
      </w:tr>
      <w:tr w:rsidR="00435D6B" w:rsidRPr="00FF0BD1" w:rsidTr="00435D6B">
        <w:trPr>
          <w:trHeight w:val="432"/>
        </w:trPr>
        <w:tc>
          <w:tcPr>
            <w:tcW w:w="8388" w:type="dxa"/>
            <w:vAlign w:val="center"/>
          </w:tcPr>
          <w:p w:rsidR="00435D6B" w:rsidRPr="00435D6B" w:rsidRDefault="00435D6B" w:rsidP="00435D6B">
            <w:pPr>
              <w:pStyle w:val="ListParagraph"/>
              <w:numPr>
                <w:ilvl w:val="0"/>
                <w:numId w:val="6"/>
              </w:numPr>
              <w:tabs>
                <w:tab w:val="right" w:pos="8100"/>
              </w:tabs>
              <w:ind w:left="360"/>
              <w:rPr>
                <w:sz w:val="20"/>
                <w:szCs w:val="20"/>
              </w:rPr>
            </w:pPr>
            <w:r w:rsidRPr="00435D6B">
              <w:rPr>
                <w:sz w:val="20"/>
                <w:szCs w:val="20"/>
              </w:rPr>
              <w:t>Total Administrative Expenses – Totals Reported on your Monthly Reports (Jan to Dec)</w:t>
            </w:r>
            <w:r w:rsidRPr="00435D6B">
              <w:rPr>
                <w:sz w:val="20"/>
                <w:szCs w:val="20"/>
              </w:rPr>
              <w:tab/>
              <w:t>$</w:t>
            </w:r>
          </w:p>
        </w:tc>
        <w:tc>
          <w:tcPr>
            <w:tcW w:w="1908" w:type="dxa"/>
            <w:vAlign w:val="center"/>
          </w:tcPr>
          <w:p w:rsidR="00435D6B" w:rsidRPr="00FF0BD1" w:rsidRDefault="00435D6B" w:rsidP="00644EBD">
            <w:pPr>
              <w:jc w:val="right"/>
              <w:rPr>
                <w:sz w:val="20"/>
                <w:szCs w:val="20"/>
              </w:rPr>
            </w:pPr>
          </w:p>
        </w:tc>
      </w:tr>
      <w:tr w:rsidR="00435D6B" w:rsidRPr="00FF0BD1" w:rsidTr="00435D6B">
        <w:trPr>
          <w:trHeight w:val="432"/>
        </w:trPr>
        <w:tc>
          <w:tcPr>
            <w:tcW w:w="8388" w:type="dxa"/>
            <w:vAlign w:val="center"/>
          </w:tcPr>
          <w:p w:rsidR="00435D6B" w:rsidRPr="00435D6B" w:rsidRDefault="00435D6B" w:rsidP="00435D6B">
            <w:pPr>
              <w:pStyle w:val="ListParagraph"/>
              <w:numPr>
                <w:ilvl w:val="0"/>
                <w:numId w:val="6"/>
              </w:numPr>
              <w:tabs>
                <w:tab w:val="right" w:pos="8100"/>
              </w:tabs>
              <w:ind w:left="360"/>
              <w:rPr>
                <w:sz w:val="20"/>
                <w:szCs w:val="20"/>
              </w:rPr>
            </w:pPr>
            <w:r w:rsidRPr="00435D6B">
              <w:rPr>
                <w:sz w:val="20"/>
                <w:szCs w:val="20"/>
              </w:rPr>
              <w:t>Total Use of Proceeds – Totals Reported on your Monthly Reports (Jan to Dec)</w:t>
            </w:r>
            <w:r w:rsidRPr="00435D6B">
              <w:rPr>
                <w:sz w:val="20"/>
                <w:szCs w:val="20"/>
              </w:rPr>
              <w:tab/>
              <w:t>$</w:t>
            </w:r>
          </w:p>
        </w:tc>
        <w:tc>
          <w:tcPr>
            <w:tcW w:w="1908" w:type="dxa"/>
            <w:vAlign w:val="center"/>
          </w:tcPr>
          <w:p w:rsidR="00435D6B" w:rsidRPr="00FF0BD1" w:rsidRDefault="00435D6B" w:rsidP="00644EBD">
            <w:pPr>
              <w:jc w:val="right"/>
              <w:rPr>
                <w:sz w:val="20"/>
                <w:szCs w:val="20"/>
              </w:rPr>
            </w:pPr>
          </w:p>
        </w:tc>
      </w:tr>
      <w:tr w:rsidR="00435D6B" w:rsidRPr="00FF0BD1" w:rsidTr="00435D6B">
        <w:trPr>
          <w:trHeight w:val="432"/>
        </w:trPr>
        <w:tc>
          <w:tcPr>
            <w:tcW w:w="8388" w:type="dxa"/>
            <w:vAlign w:val="center"/>
          </w:tcPr>
          <w:p w:rsidR="00435D6B" w:rsidRPr="00435D6B" w:rsidRDefault="00435D6B" w:rsidP="00435D6B">
            <w:pPr>
              <w:pStyle w:val="ListParagraph"/>
              <w:numPr>
                <w:ilvl w:val="0"/>
                <w:numId w:val="6"/>
              </w:numPr>
              <w:tabs>
                <w:tab w:val="right" w:pos="8100"/>
              </w:tabs>
              <w:ind w:left="360"/>
              <w:rPr>
                <w:b/>
                <w:sz w:val="20"/>
                <w:szCs w:val="20"/>
              </w:rPr>
            </w:pPr>
            <w:r w:rsidRPr="00435D6B">
              <w:rPr>
                <w:b/>
                <w:sz w:val="20"/>
                <w:szCs w:val="20"/>
              </w:rPr>
              <w:t>Closing Balance as of this Report (A) + (B) – (C) – (D)</w:t>
            </w:r>
            <w:r w:rsidRPr="00435D6B">
              <w:rPr>
                <w:b/>
                <w:sz w:val="20"/>
                <w:szCs w:val="20"/>
              </w:rPr>
              <w:tab/>
              <w:t>$</w:t>
            </w:r>
          </w:p>
        </w:tc>
        <w:tc>
          <w:tcPr>
            <w:tcW w:w="1908" w:type="dxa"/>
            <w:vAlign w:val="center"/>
          </w:tcPr>
          <w:p w:rsidR="00435D6B" w:rsidRPr="00FF0BD1" w:rsidRDefault="00435D6B" w:rsidP="00644EBD">
            <w:pPr>
              <w:jc w:val="right"/>
              <w:rPr>
                <w:sz w:val="20"/>
                <w:szCs w:val="20"/>
              </w:rPr>
            </w:pPr>
          </w:p>
        </w:tc>
      </w:tr>
    </w:tbl>
    <w:p w:rsidR="00435D6B" w:rsidRDefault="00435D6B" w:rsidP="00FF0BD1">
      <w:pPr>
        <w:ind w:left="90"/>
        <w:rPr>
          <w:sz w:val="20"/>
          <w:szCs w:val="20"/>
        </w:rPr>
      </w:pPr>
    </w:p>
    <w:p w:rsidR="00644EBD" w:rsidRDefault="00644EBD" w:rsidP="00644EBD">
      <w:pPr>
        <w:jc w:val="both"/>
        <w:rPr>
          <w:sz w:val="20"/>
          <w:szCs w:val="20"/>
        </w:rPr>
      </w:pPr>
      <w:r>
        <w:rPr>
          <w:sz w:val="20"/>
          <w:szCs w:val="20"/>
        </w:rPr>
        <w:t xml:space="preserve">If your organization conducted other types of Lotteries (Raffles, Break-Open Tickets) during the fiscal year, you are required to complete the Long Form Report to report on the financials from those events.  This report form is only to be used for the funds received from </w:t>
      </w:r>
      <w:r w:rsidR="00C34B2A">
        <w:rPr>
          <w:sz w:val="20"/>
          <w:szCs w:val="20"/>
        </w:rPr>
        <w:t>cGaming (</w:t>
      </w:r>
      <w:r>
        <w:rPr>
          <w:sz w:val="20"/>
          <w:szCs w:val="20"/>
        </w:rPr>
        <w:t>Charitable Gaming</w:t>
      </w:r>
      <w:r w:rsidR="00C34B2A">
        <w:rPr>
          <w:sz w:val="20"/>
          <w:szCs w:val="20"/>
        </w:rPr>
        <w:t xml:space="preserve">) </w:t>
      </w:r>
      <w:r>
        <w:rPr>
          <w:sz w:val="20"/>
          <w:szCs w:val="20"/>
        </w:rPr>
        <w:t xml:space="preserve"> at the Cambridge Bingo and Gaming Centre. </w:t>
      </w:r>
    </w:p>
    <w:p w:rsidR="00644EBD" w:rsidRPr="00E83292" w:rsidRDefault="00644EBD" w:rsidP="00FF0BD1">
      <w:pPr>
        <w:ind w:left="90"/>
        <w:rPr>
          <w:sz w:val="18"/>
          <w:szCs w:val="18"/>
        </w:rPr>
      </w:pPr>
    </w:p>
    <w:p w:rsidR="00E83292" w:rsidRDefault="00E83292" w:rsidP="00FF0BD1">
      <w:pPr>
        <w:ind w:left="90"/>
        <w:rPr>
          <w:sz w:val="20"/>
          <w:szCs w:val="20"/>
        </w:rPr>
      </w:pPr>
    </w:p>
    <w:p w:rsidR="00644EBD" w:rsidRDefault="00644EBD" w:rsidP="00E83292">
      <w:pPr>
        <w:jc w:val="both"/>
        <w:rPr>
          <w:sz w:val="20"/>
          <w:szCs w:val="20"/>
        </w:rPr>
      </w:pPr>
      <w:r w:rsidRPr="006B1ED2">
        <w:rPr>
          <w:b/>
          <w:sz w:val="20"/>
          <w:szCs w:val="20"/>
        </w:rPr>
        <w:t>Supporting Documentation</w:t>
      </w:r>
      <w:r>
        <w:rPr>
          <w:sz w:val="20"/>
          <w:szCs w:val="20"/>
        </w:rPr>
        <w:t xml:space="preserve"> – No Supporting documentation is required to be attached to the Year End Report.  All your supporting documentation should have been included with your Monthly Reports.  If documentation is required, you </w:t>
      </w:r>
      <w:r w:rsidR="006B1ED2">
        <w:rPr>
          <w:sz w:val="20"/>
          <w:szCs w:val="20"/>
        </w:rPr>
        <w:t>will be contacted directly by the Licensing Officer at the City of Cambridge.</w:t>
      </w:r>
      <w:r w:rsidR="002F1F49">
        <w:rPr>
          <w:sz w:val="20"/>
          <w:szCs w:val="20"/>
        </w:rPr>
        <w:t xml:space="preserve">   </w:t>
      </w:r>
      <w:r w:rsidR="002F1F49" w:rsidRPr="002F1F49">
        <w:rPr>
          <w:b/>
          <w:sz w:val="20"/>
          <w:szCs w:val="20"/>
        </w:rPr>
        <w:t>Report does not need to be audited</w:t>
      </w:r>
      <w:r w:rsidR="002F1F49">
        <w:rPr>
          <w:sz w:val="20"/>
          <w:szCs w:val="20"/>
        </w:rPr>
        <w:t>.</w:t>
      </w:r>
    </w:p>
    <w:p w:rsidR="00E83292" w:rsidRPr="00E83292" w:rsidRDefault="00E83292" w:rsidP="006B1ED2">
      <w:pPr>
        <w:ind w:left="90"/>
        <w:jc w:val="both"/>
        <w:rPr>
          <w:sz w:val="18"/>
          <w:szCs w:val="18"/>
        </w:rPr>
      </w:pPr>
    </w:p>
    <w:p w:rsidR="00E83292" w:rsidRDefault="00E83292" w:rsidP="006B1ED2">
      <w:pPr>
        <w:ind w:left="90"/>
        <w:jc w:val="both"/>
        <w:rPr>
          <w:sz w:val="20"/>
          <w:szCs w:val="20"/>
        </w:rPr>
      </w:pPr>
    </w:p>
    <w:p w:rsidR="00E83292" w:rsidRPr="006B1ED2" w:rsidRDefault="00E83292" w:rsidP="00E83292">
      <w:pPr>
        <w:rPr>
          <w:b/>
          <w:sz w:val="20"/>
          <w:szCs w:val="20"/>
        </w:rPr>
      </w:pPr>
      <w:r>
        <w:rPr>
          <w:b/>
          <w:sz w:val="20"/>
          <w:szCs w:val="20"/>
        </w:rPr>
        <w:t>Designated Bona Fide Member/</w:t>
      </w:r>
      <w:r w:rsidRPr="006B1ED2">
        <w:rPr>
          <w:b/>
          <w:sz w:val="20"/>
          <w:szCs w:val="20"/>
        </w:rPr>
        <w:t>Signing Officer</w:t>
      </w:r>
      <w:r>
        <w:rPr>
          <w:b/>
          <w:sz w:val="20"/>
          <w:szCs w:val="20"/>
        </w:rPr>
        <w:t xml:space="preserve"> Acknowledgement</w:t>
      </w:r>
      <w:r w:rsidRPr="006B1ED2">
        <w:rPr>
          <w:b/>
          <w:sz w:val="20"/>
          <w:szCs w:val="20"/>
        </w:rPr>
        <w:t>:</w:t>
      </w:r>
    </w:p>
    <w:p w:rsidR="00E83292" w:rsidRDefault="00E83292" w:rsidP="00E83292">
      <w:pPr>
        <w:jc w:val="both"/>
        <w:rPr>
          <w:sz w:val="20"/>
          <w:szCs w:val="20"/>
        </w:rPr>
      </w:pPr>
      <w:r w:rsidRPr="006B1ED2">
        <w:rPr>
          <w:sz w:val="20"/>
          <w:szCs w:val="20"/>
        </w:rPr>
        <w:t>We, as the signing officers of the above organization, certify that the above information is full and correct and that our organization has fulfilled its bona fide member obligations to the Charitable Gaming Centre Association operating at the premises listed above.</w:t>
      </w:r>
    </w:p>
    <w:p w:rsidR="006B1ED2" w:rsidRDefault="006B1ED2" w:rsidP="006B1ED2">
      <w:pPr>
        <w:ind w:left="90"/>
        <w:jc w:val="both"/>
        <w:rPr>
          <w:sz w:val="20"/>
          <w:szCs w:val="20"/>
        </w:rPr>
      </w:pPr>
    </w:p>
    <w:tbl>
      <w:tblPr>
        <w:tblStyle w:val="TableGrid"/>
        <w:tblW w:w="10354" w:type="dxa"/>
        <w:tblLayout w:type="fixed"/>
        <w:tblLook w:val="04A0" w:firstRow="1" w:lastRow="0" w:firstColumn="1" w:lastColumn="0" w:noHBand="0" w:noVBand="1"/>
      </w:tblPr>
      <w:tblGrid>
        <w:gridCol w:w="3888"/>
        <w:gridCol w:w="2578"/>
        <w:gridCol w:w="3888"/>
      </w:tblGrid>
      <w:tr w:rsidR="00F350E8" w:rsidTr="00E45704">
        <w:trPr>
          <w:trHeight w:val="576"/>
        </w:trPr>
        <w:tc>
          <w:tcPr>
            <w:tcW w:w="3888" w:type="dxa"/>
            <w:vAlign w:val="center"/>
          </w:tcPr>
          <w:p w:rsidR="00E83292" w:rsidRDefault="00F350E8" w:rsidP="00E45704">
            <w:pPr>
              <w:jc w:val="center"/>
              <w:rPr>
                <w:spacing w:val="-1"/>
              </w:rPr>
            </w:pPr>
            <w:r>
              <w:rPr>
                <w:spacing w:val="-1"/>
              </w:rPr>
              <w:t>First</w:t>
            </w:r>
            <w:r w:rsidR="00E83292">
              <w:rPr>
                <w:spacing w:val="-1"/>
              </w:rPr>
              <w:t xml:space="preserve"> Designated Bona Fide Member </w:t>
            </w:r>
          </w:p>
          <w:p w:rsidR="00F350E8" w:rsidRDefault="00E83292" w:rsidP="00E45704">
            <w:pPr>
              <w:jc w:val="center"/>
              <w:rPr>
                <w:spacing w:val="-1"/>
              </w:rPr>
            </w:pPr>
            <w:r>
              <w:rPr>
                <w:spacing w:val="-1"/>
              </w:rPr>
              <w:t>or</w:t>
            </w:r>
            <w:r w:rsidR="00F350E8">
              <w:rPr>
                <w:spacing w:val="-1"/>
              </w:rPr>
              <w:t xml:space="preserve"> Signing Officer</w:t>
            </w:r>
          </w:p>
        </w:tc>
        <w:tc>
          <w:tcPr>
            <w:tcW w:w="2578" w:type="dxa"/>
            <w:shd w:val="clear" w:color="auto" w:fill="D9D9D9" w:themeFill="background1" w:themeFillShade="D9"/>
            <w:vAlign w:val="center"/>
          </w:tcPr>
          <w:p w:rsidR="00F350E8" w:rsidRDefault="00F350E8" w:rsidP="00E45704">
            <w:pPr>
              <w:jc w:val="center"/>
              <w:rPr>
                <w:spacing w:val="-1"/>
              </w:rPr>
            </w:pPr>
          </w:p>
        </w:tc>
        <w:tc>
          <w:tcPr>
            <w:tcW w:w="3888" w:type="dxa"/>
            <w:vAlign w:val="center"/>
          </w:tcPr>
          <w:p w:rsidR="00E83292" w:rsidRDefault="00E83292" w:rsidP="00E83292">
            <w:pPr>
              <w:jc w:val="center"/>
              <w:rPr>
                <w:spacing w:val="-1"/>
              </w:rPr>
            </w:pPr>
            <w:r>
              <w:rPr>
                <w:spacing w:val="-1"/>
              </w:rPr>
              <w:t xml:space="preserve">Second Designated Bona Fide Member </w:t>
            </w:r>
          </w:p>
          <w:p w:rsidR="00F350E8" w:rsidRDefault="00E83292" w:rsidP="00E83292">
            <w:pPr>
              <w:jc w:val="center"/>
              <w:rPr>
                <w:spacing w:val="-1"/>
              </w:rPr>
            </w:pPr>
            <w:r>
              <w:rPr>
                <w:spacing w:val="-1"/>
              </w:rPr>
              <w:t>or Signing Officer</w:t>
            </w:r>
          </w:p>
        </w:tc>
      </w:tr>
      <w:tr w:rsidR="00F350E8" w:rsidTr="006B1ED2">
        <w:trPr>
          <w:trHeight w:val="432"/>
        </w:trPr>
        <w:tc>
          <w:tcPr>
            <w:tcW w:w="3888" w:type="dxa"/>
            <w:vAlign w:val="center"/>
          </w:tcPr>
          <w:p w:rsidR="00F350E8" w:rsidRDefault="00F350E8" w:rsidP="006B1ED2">
            <w:pPr>
              <w:rPr>
                <w:spacing w:val="-1"/>
              </w:rPr>
            </w:pPr>
          </w:p>
        </w:tc>
        <w:tc>
          <w:tcPr>
            <w:tcW w:w="2578" w:type="dxa"/>
            <w:vAlign w:val="center"/>
          </w:tcPr>
          <w:p w:rsidR="00F350E8" w:rsidRPr="00F350E8" w:rsidRDefault="00F350E8" w:rsidP="00435D6B">
            <w:pPr>
              <w:jc w:val="center"/>
              <w:rPr>
                <w:spacing w:val="-1"/>
                <w:sz w:val="20"/>
                <w:szCs w:val="20"/>
              </w:rPr>
            </w:pPr>
            <w:r w:rsidRPr="00F350E8">
              <w:rPr>
                <w:spacing w:val="-1"/>
                <w:sz w:val="20"/>
                <w:szCs w:val="20"/>
              </w:rPr>
              <w:t>Signature</w:t>
            </w:r>
          </w:p>
        </w:tc>
        <w:tc>
          <w:tcPr>
            <w:tcW w:w="3888" w:type="dxa"/>
            <w:vAlign w:val="center"/>
          </w:tcPr>
          <w:p w:rsidR="00F350E8" w:rsidRDefault="00F350E8" w:rsidP="006B1ED2">
            <w:pPr>
              <w:rPr>
                <w:spacing w:val="-1"/>
              </w:rPr>
            </w:pPr>
          </w:p>
        </w:tc>
      </w:tr>
      <w:tr w:rsidR="00F350E8" w:rsidTr="006B1ED2">
        <w:trPr>
          <w:trHeight w:val="432"/>
        </w:trPr>
        <w:tc>
          <w:tcPr>
            <w:tcW w:w="3888" w:type="dxa"/>
            <w:vAlign w:val="center"/>
          </w:tcPr>
          <w:p w:rsidR="00F350E8" w:rsidRDefault="00F350E8" w:rsidP="006B1ED2">
            <w:pPr>
              <w:rPr>
                <w:spacing w:val="-1"/>
              </w:rPr>
            </w:pPr>
          </w:p>
        </w:tc>
        <w:tc>
          <w:tcPr>
            <w:tcW w:w="2578" w:type="dxa"/>
            <w:vAlign w:val="center"/>
          </w:tcPr>
          <w:p w:rsidR="00F350E8" w:rsidRPr="00F350E8" w:rsidRDefault="00F350E8" w:rsidP="00435D6B">
            <w:pPr>
              <w:jc w:val="center"/>
              <w:rPr>
                <w:spacing w:val="-1"/>
                <w:sz w:val="20"/>
                <w:szCs w:val="20"/>
              </w:rPr>
            </w:pPr>
            <w:r w:rsidRPr="00F350E8">
              <w:rPr>
                <w:spacing w:val="-1"/>
                <w:sz w:val="20"/>
                <w:szCs w:val="20"/>
              </w:rPr>
              <w:t>Print Name in Full</w:t>
            </w:r>
          </w:p>
        </w:tc>
        <w:tc>
          <w:tcPr>
            <w:tcW w:w="3888" w:type="dxa"/>
            <w:vAlign w:val="center"/>
          </w:tcPr>
          <w:p w:rsidR="00F350E8" w:rsidRDefault="00F350E8" w:rsidP="006B1ED2">
            <w:pPr>
              <w:rPr>
                <w:spacing w:val="-1"/>
              </w:rPr>
            </w:pPr>
          </w:p>
        </w:tc>
      </w:tr>
      <w:tr w:rsidR="00F350E8" w:rsidTr="006B1ED2">
        <w:trPr>
          <w:trHeight w:val="432"/>
        </w:trPr>
        <w:tc>
          <w:tcPr>
            <w:tcW w:w="3888" w:type="dxa"/>
            <w:vAlign w:val="center"/>
          </w:tcPr>
          <w:p w:rsidR="00F350E8" w:rsidRDefault="00F350E8" w:rsidP="006B1ED2">
            <w:pPr>
              <w:rPr>
                <w:spacing w:val="-1"/>
              </w:rPr>
            </w:pPr>
          </w:p>
        </w:tc>
        <w:tc>
          <w:tcPr>
            <w:tcW w:w="2578" w:type="dxa"/>
            <w:vAlign w:val="center"/>
          </w:tcPr>
          <w:p w:rsidR="00F350E8" w:rsidRPr="00F350E8" w:rsidRDefault="00F350E8" w:rsidP="00435D6B">
            <w:pPr>
              <w:jc w:val="center"/>
              <w:rPr>
                <w:spacing w:val="-1"/>
                <w:sz w:val="20"/>
                <w:szCs w:val="20"/>
              </w:rPr>
            </w:pPr>
            <w:r w:rsidRPr="00F350E8">
              <w:rPr>
                <w:spacing w:val="-1"/>
                <w:sz w:val="20"/>
                <w:szCs w:val="20"/>
              </w:rPr>
              <w:t>Position</w:t>
            </w:r>
          </w:p>
        </w:tc>
        <w:tc>
          <w:tcPr>
            <w:tcW w:w="3888" w:type="dxa"/>
            <w:vAlign w:val="center"/>
          </w:tcPr>
          <w:p w:rsidR="00F350E8" w:rsidRDefault="00F350E8" w:rsidP="006B1ED2">
            <w:pPr>
              <w:rPr>
                <w:spacing w:val="-1"/>
              </w:rPr>
            </w:pPr>
          </w:p>
        </w:tc>
      </w:tr>
      <w:tr w:rsidR="00F350E8" w:rsidTr="006B1ED2">
        <w:trPr>
          <w:trHeight w:val="432"/>
        </w:trPr>
        <w:tc>
          <w:tcPr>
            <w:tcW w:w="3888" w:type="dxa"/>
            <w:vAlign w:val="center"/>
          </w:tcPr>
          <w:p w:rsidR="00F350E8" w:rsidRDefault="00F350E8" w:rsidP="006B1ED2">
            <w:pPr>
              <w:rPr>
                <w:spacing w:val="-1"/>
              </w:rPr>
            </w:pPr>
          </w:p>
        </w:tc>
        <w:tc>
          <w:tcPr>
            <w:tcW w:w="2578" w:type="dxa"/>
            <w:vAlign w:val="center"/>
          </w:tcPr>
          <w:p w:rsidR="00F350E8" w:rsidRPr="00F350E8" w:rsidRDefault="00F350E8" w:rsidP="00435D6B">
            <w:pPr>
              <w:jc w:val="center"/>
              <w:rPr>
                <w:spacing w:val="-1"/>
                <w:sz w:val="20"/>
                <w:szCs w:val="20"/>
              </w:rPr>
            </w:pPr>
            <w:r w:rsidRPr="00F350E8">
              <w:rPr>
                <w:spacing w:val="-1"/>
                <w:sz w:val="20"/>
                <w:szCs w:val="20"/>
              </w:rPr>
              <w:t>Business Telephone Number</w:t>
            </w:r>
          </w:p>
        </w:tc>
        <w:tc>
          <w:tcPr>
            <w:tcW w:w="3888" w:type="dxa"/>
            <w:vAlign w:val="center"/>
          </w:tcPr>
          <w:p w:rsidR="00F350E8" w:rsidRDefault="00F350E8" w:rsidP="006B1ED2">
            <w:pPr>
              <w:rPr>
                <w:spacing w:val="-1"/>
              </w:rPr>
            </w:pPr>
          </w:p>
        </w:tc>
      </w:tr>
      <w:tr w:rsidR="00F350E8" w:rsidTr="006B1ED2">
        <w:trPr>
          <w:trHeight w:val="432"/>
        </w:trPr>
        <w:tc>
          <w:tcPr>
            <w:tcW w:w="3888" w:type="dxa"/>
            <w:vAlign w:val="center"/>
          </w:tcPr>
          <w:p w:rsidR="00F350E8" w:rsidRDefault="00F350E8" w:rsidP="006B1ED2">
            <w:pPr>
              <w:rPr>
                <w:spacing w:val="-1"/>
              </w:rPr>
            </w:pPr>
          </w:p>
        </w:tc>
        <w:tc>
          <w:tcPr>
            <w:tcW w:w="2578" w:type="dxa"/>
            <w:vAlign w:val="center"/>
          </w:tcPr>
          <w:p w:rsidR="00F350E8" w:rsidRPr="00F350E8" w:rsidRDefault="00F350E8" w:rsidP="00435D6B">
            <w:pPr>
              <w:jc w:val="center"/>
              <w:rPr>
                <w:spacing w:val="-1"/>
                <w:sz w:val="20"/>
                <w:szCs w:val="20"/>
              </w:rPr>
            </w:pPr>
            <w:r w:rsidRPr="00F350E8">
              <w:rPr>
                <w:spacing w:val="-1"/>
                <w:sz w:val="20"/>
                <w:szCs w:val="20"/>
              </w:rPr>
              <w:t>Email Address</w:t>
            </w:r>
          </w:p>
        </w:tc>
        <w:tc>
          <w:tcPr>
            <w:tcW w:w="3888" w:type="dxa"/>
            <w:vAlign w:val="center"/>
          </w:tcPr>
          <w:p w:rsidR="00F350E8" w:rsidRDefault="00F350E8" w:rsidP="006B1ED2">
            <w:pPr>
              <w:rPr>
                <w:spacing w:val="-1"/>
              </w:rPr>
            </w:pPr>
          </w:p>
        </w:tc>
      </w:tr>
      <w:tr w:rsidR="00F350E8" w:rsidTr="006B1ED2">
        <w:trPr>
          <w:trHeight w:val="432"/>
        </w:trPr>
        <w:tc>
          <w:tcPr>
            <w:tcW w:w="3888" w:type="dxa"/>
            <w:vAlign w:val="center"/>
          </w:tcPr>
          <w:p w:rsidR="00F350E8" w:rsidRDefault="00F350E8" w:rsidP="006B1ED2">
            <w:pPr>
              <w:rPr>
                <w:spacing w:val="-1"/>
              </w:rPr>
            </w:pPr>
          </w:p>
        </w:tc>
        <w:tc>
          <w:tcPr>
            <w:tcW w:w="2578" w:type="dxa"/>
            <w:vAlign w:val="center"/>
          </w:tcPr>
          <w:p w:rsidR="00F350E8" w:rsidRPr="00F350E8" w:rsidRDefault="00F350E8" w:rsidP="00435D6B">
            <w:pPr>
              <w:jc w:val="center"/>
              <w:rPr>
                <w:spacing w:val="-1"/>
                <w:sz w:val="20"/>
                <w:szCs w:val="20"/>
              </w:rPr>
            </w:pPr>
            <w:r w:rsidRPr="00F350E8">
              <w:rPr>
                <w:spacing w:val="-1"/>
                <w:sz w:val="20"/>
                <w:szCs w:val="20"/>
              </w:rPr>
              <w:t>Date of Signing</w:t>
            </w:r>
          </w:p>
        </w:tc>
        <w:tc>
          <w:tcPr>
            <w:tcW w:w="3888" w:type="dxa"/>
            <w:vAlign w:val="center"/>
          </w:tcPr>
          <w:p w:rsidR="00F350E8" w:rsidRDefault="00F350E8" w:rsidP="006B1ED2">
            <w:pPr>
              <w:rPr>
                <w:spacing w:val="-1"/>
              </w:rPr>
            </w:pPr>
          </w:p>
        </w:tc>
      </w:tr>
    </w:tbl>
    <w:p w:rsidR="00A34FEB" w:rsidRPr="00FF0BD1" w:rsidRDefault="00A34FEB" w:rsidP="00644EBD">
      <w:pPr>
        <w:rPr>
          <w:sz w:val="20"/>
          <w:szCs w:val="20"/>
        </w:rPr>
      </w:pPr>
    </w:p>
    <w:sectPr w:rsidR="00A34FEB" w:rsidRPr="00FF0BD1" w:rsidSect="00A34FE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4806"/>
    <w:multiLevelType w:val="hybridMultilevel"/>
    <w:tmpl w:val="C4602596"/>
    <w:lvl w:ilvl="0" w:tplc="5BA67756">
      <w:start w:val="1"/>
      <w:numFmt w:val="decimal"/>
      <w:lvlText w:val="%1."/>
      <w:lvlJc w:val="left"/>
      <w:pPr>
        <w:ind w:left="474" w:hanging="341"/>
        <w:jc w:val="left"/>
      </w:pPr>
      <w:rPr>
        <w:rFonts w:ascii="Calibri" w:eastAsia="Calibri" w:hAnsi="Calibri" w:hint="default"/>
        <w:sz w:val="18"/>
        <w:szCs w:val="18"/>
      </w:rPr>
    </w:lvl>
    <w:lvl w:ilvl="1" w:tplc="7C8205EE">
      <w:start w:val="1"/>
      <w:numFmt w:val="lowerLetter"/>
      <w:lvlText w:val="%2)"/>
      <w:lvlJc w:val="left"/>
      <w:pPr>
        <w:ind w:left="744" w:hanging="312"/>
        <w:jc w:val="left"/>
      </w:pPr>
      <w:rPr>
        <w:rFonts w:ascii="Calibri" w:eastAsia="Calibri" w:hAnsi="Calibri" w:hint="default"/>
        <w:sz w:val="18"/>
        <w:szCs w:val="18"/>
      </w:rPr>
    </w:lvl>
    <w:lvl w:ilvl="2" w:tplc="FF3EA556">
      <w:start w:val="1"/>
      <w:numFmt w:val="bullet"/>
      <w:lvlText w:val="•"/>
      <w:lvlJc w:val="left"/>
      <w:pPr>
        <w:ind w:left="744" w:hanging="312"/>
      </w:pPr>
      <w:rPr>
        <w:rFonts w:hint="default"/>
      </w:rPr>
    </w:lvl>
    <w:lvl w:ilvl="3" w:tplc="6A1E8B3A">
      <w:start w:val="1"/>
      <w:numFmt w:val="bullet"/>
      <w:lvlText w:val="•"/>
      <w:lvlJc w:val="left"/>
      <w:pPr>
        <w:ind w:left="744" w:hanging="312"/>
      </w:pPr>
      <w:rPr>
        <w:rFonts w:hint="default"/>
      </w:rPr>
    </w:lvl>
    <w:lvl w:ilvl="4" w:tplc="C568DAB0">
      <w:start w:val="1"/>
      <w:numFmt w:val="bullet"/>
      <w:lvlText w:val="•"/>
      <w:lvlJc w:val="left"/>
      <w:pPr>
        <w:ind w:left="834" w:hanging="312"/>
      </w:pPr>
      <w:rPr>
        <w:rFonts w:hint="default"/>
      </w:rPr>
    </w:lvl>
    <w:lvl w:ilvl="5" w:tplc="2040AACA">
      <w:start w:val="1"/>
      <w:numFmt w:val="bullet"/>
      <w:lvlText w:val="•"/>
      <w:lvlJc w:val="left"/>
      <w:pPr>
        <w:ind w:left="2431" w:hanging="312"/>
      </w:pPr>
      <w:rPr>
        <w:rFonts w:hint="default"/>
      </w:rPr>
    </w:lvl>
    <w:lvl w:ilvl="6" w:tplc="8B92ECC0">
      <w:start w:val="1"/>
      <w:numFmt w:val="bullet"/>
      <w:lvlText w:val="•"/>
      <w:lvlJc w:val="left"/>
      <w:pPr>
        <w:ind w:left="4029" w:hanging="312"/>
      </w:pPr>
      <w:rPr>
        <w:rFonts w:hint="default"/>
      </w:rPr>
    </w:lvl>
    <w:lvl w:ilvl="7" w:tplc="2856EA18">
      <w:start w:val="1"/>
      <w:numFmt w:val="bullet"/>
      <w:lvlText w:val="•"/>
      <w:lvlJc w:val="left"/>
      <w:pPr>
        <w:ind w:left="5627" w:hanging="312"/>
      </w:pPr>
      <w:rPr>
        <w:rFonts w:hint="default"/>
      </w:rPr>
    </w:lvl>
    <w:lvl w:ilvl="8" w:tplc="1B4A3FFA">
      <w:start w:val="1"/>
      <w:numFmt w:val="bullet"/>
      <w:lvlText w:val="•"/>
      <w:lvlJc w:val="left"/>
      <w:pPr>
        <w:ind w:left="7224" w:hanging="312"/>
      </w:pPr>
      <w:rPr>
        <w:rFonts w:hint="default"/>
      </w:rPr>
    </w:lvl>
  </w:abstractNum>
  <w:abstractNum w:abstractNumId="1">
    <w:nsid w:val="27CA33B5"/>
    <w:multiLevelType w:val="hybridMultilevel"/>
    <w:tmpl w:val="A5FC3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17041D"/>
    <w:multiLevelType w:val="hybridMultilevel"/>
    <w:tmpl w:val="5C2434AC"/>
    <w:lvl w:ilvl="0" w:tplc="D55EF6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321072"/>
    <w:multiLevelType w:val="hybridMultilevel"/>
    <w:tmpl w:val="BC8605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945B32"/>
    <w:multiLevelType w:val="hybridMultilevel"/>
    <w:tmpl w:val="BC8605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8D3329"/>
    <w:multiLevelType w:val="hybridMultilevel"/>
    <w:tmpl w:val="B3AC5286"/>
    <w:lvl w:ilvl="0" w:tplc="5BA433C0">
      <w:start w:val="1"/>
      <w:numFmt w:val="bullet"/>
      <w:lvlText w:val=""/>
      <w:lvlJc w:val="left"/>
      <w:pPr>
        <w:ind w:left="503" w:hanging="360"/>
      </w:pPr>
      <w:rPr>
        <w:rFonts w:ascii="Symbol" w:eastAsia="Symbol" w:hAnsi="Symbol" w:hint="default"/>
        <w:sz w:val="12"/>
        <w:szCs w:val="12"/>
      </w:rPr>
    </w:lvl>
    <w:lvl w:ilvl="1" w:tplc="AC04A294">
      <w:start w:val="1"/>
      <w:numFmt w:val="bullet"/>
      <w:lvlText w:val="•"/>
      <w:lvlJc w:val="left"/>
      <w:pPr>
        <w:ind w:left="1585" w:hanging="360"/>
      </w:pPr>
      <w:rPr>
        <w:rFonts w:hint="default"/>
      </w:rPr>
    </w:lvl>
    <w:lvl w:ilvl="2" w:tplc="81D2F2BE">
      <w:start w:val="1"/>
      <w:numFmt w:val="bullet"/>
      <w:lvlText w:val="•"/>
      <w:lvlJc w:val="left"/>
      <w:pPr>
        <w:ind w:left="2666" w:hanging="360"/>
      </w:pPr>
      <w:rPr>
        <w:rFonts w:hint="default"/>
      </w:rPr>
    </w:lvl>
    <w:lvl w:ilvl="3" w:tplc="258E45E4">
      <w:start w:val="1"/>
      <w:numFmt w:val="bullet"/>
      <w:lvlText w:val="•"/>
      <w:lvlJc w:val="left"/>
      <w:pPr>
        <w:ind w:left="3747" w:hanging="360"/>
      </w:pPr>
      <w:rPr>
        <w:rFonts w:hint="default"/>
      </w:rPr>
    </w:lvl>
    <w:lvl w:ilvl="4" w:tplc="B5DE8A5E">
      <w:start w:val="1"/>
      <w:numFmt w:val="bullet"/>
      <w:lvlText w:val="•"/>
      <w:lvlJc w:val="left"/>
      <w:pPr>
        <w:ind w:left="4828" w:hanging="360"/>
      </w:pPr>
      <w:rPr>
        <w:rFonts w:hint="default"/>
      </w:rPr>
    </w:lvl>
    <w:lvl w:ilvl="5" w:tplc="A5065560">
      <w:start w:val="1"/>
      <w:numFmt w:val="bullet"/>
      <w:lvlText w:val="•"/>
      <w:lvlJc w:val="left"/>
      <w:pPr>
        <w:ind w:left="5910" w:hanging="360"/>
      </w:pPr>
      <w:rPr>
        <w:rFonts w:hint="default"/>
      </w:rPr>
    </w:lvl>
    <w:lvl w:ilvl="6" w:tplc="C0006D3A">
      <w:start w:val="1"/>
      <w:numFmt w:val="bullet"/>
      <w:lvlText w:val="•"/>
      <w:lvlJc w:val="left"/>
      <w:pPr>
        <w:ind w:left="6991" w:hanging="360"/>
      </w:pPr>
      <w:rPr>
        <w:rFonts w:hint="default"/>
      </w:rPr>
    </w:lvl>
    <w:lvl w:ilvl="7" w:tplc="A39C47AC">
      <w:start w:val="1"/>
      <w:numFmt w:val="bullet"/>
      <w:lvlText w:val="•"/>
      <w:lvlJc w:val="left"/>
      <w:pPr>
        <w:ind w:left="8072" w:hanging="360"/>
      </w:pPr>
      <w:rPr>
        <w:rFonts w:hint="default"/>
      </w:rPr>
    </w:lvl>
    <w:lvl w:ilvl="8" w:tplc="1E586F12">
      <w:start w:val="1"/>
      <w:numFmt w:val="bullet"/>
      <w:lvlText w:val="•"/>
      <w:lvlJc w:val="left"/>
      <w:pPr>
        <w:ind w:left="9154" w:hanging="360"/>
      </w:pPr>
      <w:rPr>
        <w:rFont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D1"/>
    <w:rsid w:val="00001684"/>
    <w:rsid w:val="00050D86"/>
    <w:rsid w:val="000D58CB"/>
    <w:rsid w:val="002667D5"/>
    <w:rsid w:val="002F1F49"/>
    <w:rsid w:val="0038470A"/>
    <w:rsid w:val="00435D6B"/>
    <w:rsid w:val="00473726"/>
    <w:rsid w:val="004A2766"/>
    <w:rsid w:val="004E4E5D"/>
    <w:rsid w:val="006044A8"/>
    <w:rsid w:val="00644EBD"/>
    <w:rsid w:val="0069201B"/>
    <w:rsid w:val="006B1ED2"/>
    <w:rsid w:val="00714793"/>
    <w:rsid w:val="0073640E"/>
    <w:rsid w:val="007C1D4C"/>
    <w:rsid w:val="008A02F8"/>
    <w:rsid w:val="009246A6"/>
    <w:rsid w:val="00A137B6"/>
    <w:rsid w:val="00A34FEB"/>
    <w:rsid w:val="00A9553F"/>
    <w:rsid w:val="00AD1DE5"/>
    <w:rsid w:val="00BD48A0"/>
    <w:rsid w:val="00C34B2A"/>
    <w:rsid w:val="00E45704"/>
    <w:rsid w:val="00E83292"/>
    <w:rsid w:val="00ED0748"/>
    <w:rsid w:val="00EF1A5B"/>
    <w:rsid w:val="00F350E8"/>
    <w:rsid w:val="00F9785D"/>
    <w:rsid w:val="00FF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E4E5D"/>
    <w:pPr>
      <w:framePr w:w="7920" w:h="1980" w:hRule="exact" w:hSpace="180" w:wrap="auto" w:hAnchor="page" w:xAlign="center" w:yAlign="bottom"/>
      <w:ind w:left="2880"/>
    </w:pPr>
    <w:rPr>
      <w:rFonts w:ascii="Arial" w:eastAsiaTheme="majorEastAsia" w:hAnsi="Arial" w:cstheme="majorBidi"/>
      <w:sz w:val="24"/>
      <w:szCs w:val="24"/>
    </w:rPr>
  </w:style>
  <w:style w:type="table" w:styleId="TableGrid">
    <w:name w:val="Table Grid"/>
    <w:basedOn w:val="TableNormal"/>
    <w:uiPriority w:val="59"/>
    <w:rsid w:val="00FF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0BD1"/>
    <w:rPr>
      <w:rFonts w:ascii="Tahoma" w:hAnsi="Tahoma" w:cs="Tahoma"/>
      <w:sz w:val="16"/>
      <w:szCs w:val="16"/>
    </w:rPr>
  </w:style>
  <w:style w:type="character" w:customStyle="1" w:styleId="BalloonTextChar">
    <w:name w:val="Balloon Text Char"/>
    <w:basedOn w:val="DefaultParagraphFont"/>
    <w:link w:val="BalloonText"/>
    <w:uiPriority w:val="99"/>
    <w:semiHidden/>
    <w:rsid w:val="00FF0BD1"/>
    <w:rPr>
      <w:rFonts w:ascii="Tahoma" w:hAnsi="Tahoma" w:cs="Tahoma"/>
      <w:sz w:val="16"/>
      <w:szCs w:val="16"/>
    </w:rPr>
  </w:style>
  <w:style w:type="paragraph" w:customStyle="1" w:styleId="TableParagraph">
    <w:name w:val="Table Paragraph"/>
    <w:basedOn w:val="Normal"/>
    <w:uiPriority w:val="1"/>
    <w:qFormat/>
    <w:rsid w:val="00FF0BD1"/>
    <w:pPr>
      <w:widowControl w:val="0"/>
    </w:pPr>
  </w:style>
  <w:style w:type="paragraph" w:styleId="ListParagraph">
    <w:name w:val="List Paragraph"/>
    <w:basedOn w:val="Normal"/>
    <w:uiPriority w:val="34"/>
    <w:qFormat/>
    <w:rsid w:val="00FF0BD1"/>
    <w:pPr>
      <w:ind w:left="720"/>
      <w:contextualSpacing/>
    </w:pPr>
  </w:style>
  <w:style w:type="paragraph" w:styleId="BodyText">
    <w:name w:val="Body Text"/>
    <w:basedOn w:val="Normal"/>
    <w:link w:val="BodyTextChar"/>
    <w:uiPriority w:val="1"/>
    <w:qFormat/>
    <w:rsid w:val="008A02F8"/>
    <w:pPr>
      <w:widowControl w:val="0"/>
      <w:ind w:left="744" w:hanging="360"/>
    </w:pPr>
    <w:rPr>
      <w:rFonts w:ascii="Calibri" w:eastAsia="Calibri" w:hAnsi="Calibri"/>
      <w:sz w:val="18"/>
      <w:szCs w:val="18"/>
    </w:rPr>
  </w:style>
  <w:style w:type="character" w:customStyle="1" w:styleId="BodyTextChar">
    <w:name w:val="Body Text Char"/>
    <w:basedOn w:val="DefaultParagraphFont"/>
    <w:link w:val="BodyText"/>
    <w:uiPriority w:val="1"/>
    <w:rsid w:val="008A02F8"/>
    <w:rPr>
      <w:rFonts w:ascii="Calibri" w:eastAsia="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E4E5D"/>
    <w:pPr>
      <w:framePr w:w="7920" w:h="1980" w:hRule="exact" w:hSpace="180" w:wrap="auto" w:hAnchor="page" w:xAlign="center" w:yAlign="bottom"/>
      <w:ind w:left="2880"/>
    </w:pPr>
    <w:rPr>
      <w:rFonts w:ascii="Arial" w:eastAsiaTheme="majorEastAsia" w:hAnsi="Arial" w:cstheme="majorBidi"/>
      <w:sz w:val="24"/>
      <w:szCs w:val="24"/>
    </w:rPr>
  </w:style>
  <w:style w:type="table" w:styleId="TableGrid">
    <w:name w:val="Table Grid"/>
    <w:basedOn w:val="TableNormal"/>
    <w:uiPriority w:val="59"/>
    <w:rsid w:val="00FF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0BD1"/>
    <w:rPr>
      <w:rFonts w:ascii="Tahoma" w:hAnsi="Tahoma" w:cs="Tahoma"/>
      <w:sz w:val="16"/>
      <w:szCs w:val="16"/>
    </w:rPr>
  </w:style>
  <w:style w:type="character" w:customStyle="1" w:styleId="BalloonTextChar">
    <w:name w:val="Balloon Text Char"/>
    <w:basedOn w:val="DefaultParagraphFont"/>
    <w:link w:val="BalloonText"/>
    <w:uiPriority w:val="99"/>
    <w:semiHidden/>
    <w:rsid w:val="00FF0BD1"/>
    <w:rPr>
      <w:rFonts w:ascii="Tahoma" w:hAnsi="Tahoma" w:cs="Tahoma"/>
      <w:sz w:val="16"/>
      <w:szCs w:val="16"/>
    </w:rPr>
  </w:style>
  <w:style w:type="paragraph" w:customStyle="1" w:styleId="TableParagraph">
    <w:name w:val="Table Paragraph"/>
    <w:basedOn w:val="Normal"/>
    <w:uiPriority w:val="1"/>
    <w:qFormat/>
    <w:rsid w:val="00FF0BD1"/>
    <w:pPr>
      <w:widowControl w:val="0"/>
    </w:pPr>
  </w:style>
  <w:style w:type="paragraph" w:styleId="ListParagraph">
    <w:name w:val="List Paragraph"/>
    <w:basedOn w:val="Normal"/>
    <w:uiPriority w:val="34"/>
    <w:qFormat/>
    <w:rsid w:val="00FF0BD1"/>
    <w:pPr>
      <w:ind w:left="720"/>
      <w:contextualSpacing/>
    </w:pPr>
  </w:style>
  <w:style w:type="paragraph" w:styleId="BodyText">
    <w:name w:val="Body Text"/>
    <w:basedOn w:val="Normal"/>
    <w:link w:val="BodyTextChar"/>
    <w:uiPriority w:val="1"/>
    <w:qFormat/>
    <w:rsid w:val="008A02F8"/>
    <w:pPr>
      <w:widowControl w:val="0"/>
      <w:ind w:left="744" w:hanging="360"/>
    </w:pPr>
    <w:rPr>
      <w:rFonts w:ascii="Calibri" w:eastAsia="Calibri" w:hAnsi="Calibri"/>
      <w:sz w:val="18"/>
      <w:szCs w:val="18"/>
    </w:rPr>
  </w:style>
  <w:style w:type="character" w:customStyle="1" w:styleId="BodyTextChar">
    <w:name w:val="Body Text Char"/>
    <w:basedOn w:val="DefaultParagraphFont"/>
    <w:link w:val="BodyText"/>
    <w:uiPriority w:val="1"/>
    <w:rsid w:val="008A02F8"/>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CBA7-FAB5-4081-8A77-BA494FFE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City of Kitchener</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Siopiolosz</dc:creator>
  <cp:lastModifiedBy>Paul Siopiolosz</cp:lastModifiedBy>
  <cp:revision>5</cp:revision>
  <cp:lastPrinted>2021-01-16T16:43:00Z</cp:lastPrinted>
  <dcterms:created xsi:type="dcterms:W3CDTF">2022-07-02T15:54:00Z</dcterms:created>
  <dcterms:modified xsi:type="dcterms:W3CDTF">2024-01-21T19:11:00Z</dcterms:modified>
</cp:coreProperties>
</file>